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13FB" w:rsidR="008F13FB" w:rsidP="235E0FAA" w:rsidRDefault="008F13FB" w14:paraId="4D678576" w14:textId="1BE7C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235E0FAA" w:rsidR="008F13FB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</w:t>
      </w:r>
      <w:r w:rsidRPr="235E0FAA" w:rsidR="45A2EFB3">
        <w:rPr>
          <w:rFonts w:ascii="Arial" w:hAnsi="Arial" w:eastAsia="Times New Roman" w:cs="Arial"/>
          <w:b w:val="1"/>
          <w:bCs w:val="1"/>
          <w:sz w:val="24"/>
          <w:szCs w:val="24"/>
        </w:rPr>
        <w:t>Job</w:t>
      </w:r>
      <w:r w:rsidRPr="235E0FAA" w:rsidR="008F13FB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Procedure Electrical Safety</w:t>
      </w:r>
    </w:p>
    <w:p w:rsidRPr="008F13FB" w:rsidR="008F13FB" w:rsidP="008F13FB" w:rsidRDefault="008F13FB" w14:paraId="1777E77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20" w:firstRow="1" w:lastRow="0" w:firstColumn="0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8F13FB" w:rsidR="008F13FB" w:rsidTr="008F13FB" w14:paraId="0100CE1F" w14:textId="77777777">
        <w:trPr>
          <w:tblHeader/>
        </w:trPr>
        <w:tc>
          <w:tcPr>
            <w:tcW w:w="2336" w:type="dxa"/>
            <w:shd w:val="clear" w:color="auto" w:fill="D9D9D9"/>
          </w:tcPr>
          <w:p w:rsidRPr="008F13FB" w:rsidR="008F13FB" w:rsidP="008F13FB" w:rsidRDefault="008F13FB" w14:paraId="6DF8AEA1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8F13FB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8F13FB" w:rsidR="008F13FB" w:rsidP="008F13FB" w:rsidRDefault="008F13FB" w14:paraId="785038D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8F13FB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8F13FB" w:rsidR="008F13FB" w:rsidP="008F13FB" w:rsidRDefault="008F13FB" w14:paraId="38A28985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8F13FB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8F13FB" w:rsidR="008F13FB" w:rsidP="008F13FB" w:rsidRDefault="008F13FB" w14:paraId="4E828A4F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8F13FB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8F13FB" w:rsidR="008F13FB" w:rsidTr="00791B82" w14:paraId="792F4975" w14:textId="77777777">
        <w:tc>
          <w:tcPr>
            <w:tcW w:w="2336" w:type="dxa"/>
          </w:tcPr>
          <w:p w:rsidRPr="008F13FB" w:rsidR="008F13FB" w:rsidP="008F13FB" w:rsidRDefault="008F13FB" w14:paraId="16F03170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8F13FB" w:rsidR="008F13FB" w:rsidP="008F13FB" w:rsidRDefault="008F13FB" w14:paraId="17A555AE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8F13FB" w:rsidR="008F13FB" w:rsidP="008F13FB" w:rsidRDefault="008F13FB" w14:paraId="3CD4B7D6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8F13FB" w:rsidR="008F13FB" w:rsidP="008F13FB" w:rsidRDefault="008F13FB" w14:paraId="479D50BD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8F13FB" w:rsidR="008F13FB" w:rsidP="008F13FB" w:rsidRDefault="008F13FB" w14:paraId="262215C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8F13FB" w:rsidR="008F13FB" w:rsidTr="008F13FB" w14:paraId="4A3427ED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8F13FB" w:rsidR="008F13FB" w:rsidP="008F13FB" w:rsidRDefault="008F13FB" w14:paraId="04AB1C8A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8F13FB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8F13FB" w:rsidR="008F13FB" w:rsidP="008F13FB" w:rsidRDefault="008F13FB" w14:paraId="33727D0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8F13FB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8F13FB" w:rsidR="008F13FB" w:rsidTr="00791B82" w14:paraId="2079C283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4DEC7E85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Awkward/sustained postures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04BEA2D7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Medium</w:t>
            </w:r>
          </w:p>
        </w:tc>
      </w:tr>
      <w:tr w:rsidRPr="008F13FB" w:rsidR="008F13FB" w:rsidTr="00791B82" w14:paraId="6980A732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7A27DC1A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Forceful exertions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6633BA58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Low</w:t>
            </w:r>
          </w:p>
        </w:tc>
      </w:tr>
      <w:tr w:rsidRPr="008F13FB" w:rsidR="008F13FB" w:rsidTr="00791B82" w14:paraId="74569D76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079B1238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631694C8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Medium</w:t>
            </w:r>
          </w:p>
        </w:tc>
      </w:tr>
      <w:tr w:rsidRPr="008F13FB" w:rsidR="008F13FB" w:rsidTr="00791B82" w14:paraId="72DA66CE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39E3ABC8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6E41F17E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Medium</w:t>
            </w:r>
          </w:p>
        </w:tc>
      </w:tr>
      <w:tr w:rsidRPr="008F13FB" w:rsidR="008F13FB" w:rsidTr="00791B82" w14:paraId="60444408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3FA6ECBD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01D4EAE7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Medium</w:t>
            </w:r>
          </w:p>
        </w:tc>
      </w:tr>
      <w:tr w:rsidRPr="008F13FB" w:rsidR="008F13FB" w:rsidTr="00791B82" w14:paraId="703F034D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35F2D5E1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Sharp points/edges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4003E398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Low</w:t>
            </w:r>
          </w:p>
        </w:tc>
      </w:tr>
      <w:tr w:rsidRPr="008F13FB" w:rsidR="008F13FB" w:rsidTr="00791B82" w14:paraId="49018399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3C6E8CF2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Pinch points – fingers caught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7821F002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Low</w:t>
            </w:r>
          </w:p>
        </w:tc>
      </w:tr>
      <w:tr w:rsidRPr="008F13FB" w:rsidR="008F13FB" w:rsidTr="00791B82" w14:paraId="32807E4C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5A225C9F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Materials falling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73482A02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Medium</w:t>
            </w:r>
          </w:p>
        </w:tc>
      </w:tr>
      <w:tr w:rsidRPr="008F13FB" w:rsidR="008F13FB" w:rsidTr="00791B82" w14:paraId="4A9CD320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0679EEEC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Surfaces causing falls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0ECF87E3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Medium</w:t>
            </w:r>
          </w:p>
        </w:tc>
      </w:tr>
      <w:tr w:rsidRPr="008F13FB" w:rsidR="008F13FB" w:rsidTr="00791B82" w14:paraId="048FFE2F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7D5C4D49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590DE17B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Low</w:t>
            </w:r>
          </w:p>
        </w:tc>
      </w:tr>
      <w:tr w:rsidRPr="008F13FB" w:rsidR="008F13FB" w:rsidTr="00791B82" w14:paraId="0389535A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23170407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450247CD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High</w:t>
            </w:r>
          </w:p>
        </w:tc>
      </w:tr>
      <w:tr w:rsidRPr="008F13FB" w:rsidR="008F13FB" w:rsidTr="00791B82" w14:paraId="2B0CE332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464F48EF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6AADDD3A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Medium</w:t>
            </w:r>
          </w:p>
        </w:tc>
      </w:tr>
      <w:tr w:rsidRPr="008F13FB" w:rsidR="008F13FB" w:rsidTr="00791B82" w14:paraId="68D65083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2874C8F0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234D5583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Medium</w:t>
            </w:r>
          </w:p>
        </w:tc>
      </w:tr>
      <w:tr w:rsidRPr="008F13FB" w:rsidR="008F13FB" w:rsidTr="00791B82" w14:paraId="24D72983" w14:textId="77777777">
        <w:trPr>
          <w:trHeight w:val="283"/>
        </w:trPr>
        <w:tc>
          <w:tcPr>
            <w:tcW w:w="6658" w:type="dxa"/>
            <w:vAlign w:val="center"/>
          </w:tcPr>
          <w:p w:rsidRPr="008F13FB" w:rsidR="008F13FB" w:rsidP="008F13FB" w:rsidRDefault="008F13FB" w14:paraId="00DBAE33" w14:textId="77777777">
            <w:pPr>
              <w:rPr>
                <w:rFonts w:ascii="Arial" w:hAnsi="Arial" w:eastAsia="Times New Roman" w:cs="Arial"/>
              </w:rPr>
            </w:pPr>
            <w:r w:rsidRPr="008F13FB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8F13FB" w:rsidR="008F13FB" w:rsidP="008F13FB" w:rsidRDefault="008F13FB" w14:paraId="06B690A1" w14:textId="77777777">
            <w:pPr>
              <w:rPr>
                <w:rFonts w:ascii="Arial" w:hAnsi="Arial" w:eastAsia="Times New Roman" w:cs="Arial"/>
              </w:rPr>
            </w:pPr>
          </w:p>
        </w:tc>
      </w:tr>
    </w:tbl>
    <w:p w:rsidRPr="008F13FB" w:rsidR="008F13FB" w:rsidP="008F13FB" w:rsidRDefault="008F13FB" w14:paraId="6D604E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3397"/>
        <w:gridCol w:w="5954"/>
      </w:tblGrid>
      <w:tr w:rsidRPr="008F13FB" w:rsidR="008F13FB" w:rsidTr="008F13FB" w14:paraId="0A95B497" w14:textId="77777777">
        <w:trPr>
          <w:tblHeader/>
        </w:trPr>
        <w:tc>
          <w:tcPr>
            <w:tcW w:w="3397" w:type="dxa"/>
            <w:shd w:val="clear" w:color="auto" w:fill="D9D9D9"/>
          </w:tcPr>
          <w:p w:rsidRPr="008F13FB" w:rsidR="008F13FB" w:rsidP="008F13FB" w:rsidRDefault="008F13FB" w14:paraId="22A9FCDE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8F13FB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5954" w:type="dxa"/>
            <w:shd w:val="clear" w:color="auto" w:fill="D9D9D9"/>
          </w:tcPr>
          <w:p w:rsidRPr="008F13FB" w:rsidR="008F13FB" w:rsidP="008F13FB" w:rsidRDefault="008F13FB" w14:paraId="6E5694C1" w14:textId="77777777">
            <w:pPr>
              <w:rPr>
                <w:rFonts w:ascii="Arial" w:hAnsi="Arial" w:eastAsia="Times New Roman" w:cs="Arial"/>
                <w:b/>
              </w:rPr>
            </w:pPr>
            <w:r w:rsidRPr="008F13FB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8F13FB" w:rsidR="008F13FB" w:rsidTr="00791B82" w14:paraId="55FA6CD6" w14:textId="77777777">
        <w:trPr>
          <w:trHeight w:val="2425"/>
        </w:trPr>
        <w:tc>
          <w:tcPr>
            <w:tcW w:w="3397" w:type="dxa"/>
          </w:tcPr>
          <w:p w:rsidRPr="008F13FB" w:rsidR="008F13FB" w:rsidP="008F13FB" w:rsidRDefault="008F13FB" w14:paraId="2C3DBDBA" w14:textId="497B2A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8F13FB">
              <w:rPr>
                <w:rFonts w:ascii="Arial" w:hAnsi="Arial" w:eastAsia="Times New Roman" w:cs="Arial"/>
                <w:bCs/>
              </w:rPr>
              <w:t xml:space="preserve">CSA approved </w:t>
            </w:r>
            <w:r w:rsidRPr="008F13FB" w:rsidR="00733B16">
              <w:rPr>
                <w:rFonts w:ascii="Arial" w:hAnsi="Arial" w:eastAsia="Times New Roman" w:cs="Arial"/>
                <w:bCs/>
              </w:rPr>
              <w:t>footwear.</w:t>
            </w:r>
          </w:p>
          <w:p w:rsidRPr="008F13FB" w:rsidR="008F13FB" w:rsidP="008F13FB" w:rsidRDefault="008F13FB" w14:paraId="57A45D3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8F13FB">
              <w:rPr>
                <w:rFonts w:ascii="Arial" w:hAnsi="Arial" w:eastAsia="Times New Roman" w:cs="Arial"/>
                <w:bCs/>
              </w:rPr>
              <w:t>Lockout/Tagout energy isolation</w:t>
            </w:r>
          </w:p>
          <w:p w:rsidRPr="008F13FB" w:rsidR="008F13FB" w:rsidP="008F13FB" w:rsidRDefault="008F13FB" w14:paraId="5799D0B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8F13FB">
              <w:rPr>
                <w:rFonts w:ascii="Arial" w:hAnsi="Arial" w:eastAsia="Times New Roman" w:cs="Arial"/>
                <w:bCs/>
              </w:rPr>
              <w:t>Multimeter tester, amp meter</w:t>
            </w:r>
          </w:p>
          <w:p w:rsidRPr="008F13FB" w:rsidR="008F13FB" w:rsidP="008F13FB" w:rsidRDefault="008F13FB" w14:paraId="42E9CBDC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8F13FB">
              <w:rPr>
                <w:rFonts w:ascii="Arial" w:hAnsi="Arial" w:eastAsia="Times New Roman" w:cs="Arial"/>
                <w:bCs/>
              </w:rPr>
              <w:t>Manufacturer's manual</w:t>
            </w:r>
          </w:p>
          <w:p w:rsidRPr="008F13FB" w:rsidR="008F13FB" w:rsidP="008F13FB" w:rsidRDefault="008F13FB" w14:paraId="1E3E91AA" w14:textId="77777777">
            <w:pPr>
              <w:autoSpaceDE w:val="0"/>
              <w:autoSpaceDN w:val="0"/>
              <w:adjustRightInd w:val="0"/>
              <w:ind w:left="360"/>
              <w:rPr>
                <w:rFonts w:ascii="Arial" w:hAnsi="Arial" w:eastAsia="Times New Roman" w:cs="Arial"/>
              </w:rPr>
            </w:pPr>
          </w:p>
        </w:tc>
        <w:tc>
          <w:tcPr>
            <w:tcW w:w="5954" w:type="dxa"/>
          </w:tcPr>
          <w:p w:rsidRPr="008F13FB" w:rsidR="008F13FB" w:rsidP="008F13FB" w:rsidRDefault="008F13FB" w14:paraId="6166D8F5" w14:textId="5AA6B7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8F13FB">
              <w:rPr>
                <w:rFonts w:ascii="Arial" w:hAnsi="Arial" w:eastAsia="Times New Roman" w:cs="Arial"/>
                <w:bCs/>
              </w:rPr>
              <w:t xml:space="preserve">Part </w:t>
            </w:r>
            <w:r w:rsidR="004D378D">
              <w:rPr>
                <w:rFonts w:ascii="Arial" w:hAnsi="Arial" w:eastAsia="Times New Roman" w:cs="Arial"/>
                <w:bCs/>
              </w:rPr>
              <w:t>11</w:t>
            </w:r>
            <w:r w:rsidRPr="008F13FB">
              <w:rPr>
                <w:rFonts w:ascii="Arial" w:hAnsi="Arial" w:eastAsia="Times New Roman" w:cs="Arial"/>
                <w:bCs/>
              </w:rPr>
              <w:t xml:space="preserve">, Electrical Safety, </w:t>
            </w:r>
            <w:r w:rsidR="004D378D">
              <w:rPr>
                <w:rFonts w:ascii="Arial" w:hAnsi="Arial" w:eastAsia="Times New Roman" w:cs="Arial"/>
                <w:bCs/>
                <w:i/>
              </w:rPr>
              <w:t xml:space="preserve">Nova Scotia </w:t>
            </w:r>
            <w:r w:rsidR="00733B16">
              <w:rPr>
                <w:rFonts w:ascii="Arial" w:hAnsi="Arial" w:eastAsia="Times New Roman" w:cs="Arial"/>
                <w:bCs/>
                <w:i/>
              </w:rPr>
              <w:t>Occupational Health and Safety Regulations.</w:t>
            </w:r>
          </w:p>
          <w:p w:rsidRPr="008F13FB" w:rsidR="008F13FB" w:rsidP="008F13FB" w:rsidRDefault="008F13FB" w14:paraId="419E23AB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8F13FB">
              <w:rPr>
                <w:rFonts w:ascii="Arial" w:hAnsi="Arial" w:eastAsia="Times New Roman" w:cs="Arial"/>
                <w:bCs/>
              </w:rPr>
              <w:t>The Electricians' License Act</w:t>
            </w:r>
          </w:p>
          <w:p w:rsidRPr="008F13FB" w:rsidR="008F13FB" w:rsidP="008F13FB" w:rsidRDefault="008F13FB" w14:paraId="6ACB29D7" w14:textId="2CA4DC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8F13FB">
              <w:rPr>
                <w:rFonts w:ascii="Arial" w:hAnsi="Arial" w:eastAsia="Times New Roman" w:cs="Arial"/>
                <w:bCs/>
              </w:rPr>
              <w:t xml:space="preserve">The </w:t>
            </w:r>
            <w:r w:rsidR="00AA1A3F">
              <w:rPr>
                <w:rFonts w:ascii="Arial" w:hAnsi="Arial" w:eastAsia="Times New Roman" w:cs="Arial"/>
                <w:bCs/>
              </w:rPr>
              <w:t>Nova Scotia</w:t>
            </w:r>
            <w:r w:rsidRPr="008F13FB">
              <w:rPr>
                <w:rFonts w:ascii="Arial" w:hAnsi="Arial" w:eastAsia="Times New Roman" w:cs="Arial"/>
                <w:bCs/>
              </w:rPr>
              <w:t xml:space="preserve"> Electrical Code</w:t>
            </w:r>
          </w:p>
          <w:p w:rsidRPr="008F13FB" w:rsidR="008F13FB" w:rsidP="008F13FB" w:rsidRDefault="008F13FB" w14:paraId="0F110B5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8F13FB">
              <w:rPr>
                <w:rFonts w:ascii="Arial" w:hAnsi="Arial" w:eastAsia="Times New Roman" w:cs="Arial"/>
                <w:bCs/>
              </w:rPr>
              <w:t>NPFA 70E Standard for Electrical Safety in the Workplace</w:t>
            </w:r>
          </w:p>
          <w:p w:rsidRPr="008F13FB" w:rsidR="008F13FB" w:rsidP="008F13FB" w:rsidRDefault="008F13FB" w14:paraId="1BEC507D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8F13FB">
              <w:rPr>
                <w:rFonts w:ascii="Arial" w:hAnsi="Arial" w:eastAsia="Times New Roman" w:cs="Arial"/>
                <w:bCs/>
              </w:rPr>
              <w:t>CSA Z462 Workplace Electrical Safety</w:t>
            </w:r>
          </w:p>
          <w:p w:rsidRPr="008F13FB" w:rsidR="008F13FB" w:rsidP="008F13FB" w:rsidRDefault="008F13FB" w14:paraId="53D87D03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8F13FB">
              <w:rPr>
                <w:rFonts w:ascii="Arial" w:hAnsi="Arial" w:eastAsia="Times New Roman" w:cs="Arial"/>
                <w:bCs/>
              </w:rPr>
              <w:t>CSA Z460-05 Control of Hazardous Energy- Lockout and Other Methods</w:t>
            </w:r>
          </w:p>
          <w:p w:rsidRPr="008F13FB" w:rsidR="008F13FB" w:rsidP="008F13FB" w:rsidRDefault="008F13FB" w14:paraId="3340BF5F" w14:textId="77777777">
            <w:pPr>
              <w:ind w:left="360"/>
              <w:rPr>
                <w:rFonts w:ascii="Arial" w:hAnsi="Arial" w:eastAsia="Times New Roman" w:cs="Arial"/>
              </w:rPr>
            </w:pPr>
          </w:p>
        </w:tc>
      </w:tr>
    </w:tbl>
    <w:p w:rsidRPr="008F13FB" w:rsidR="008F13FB" w:rsidP="008F13FB" w:rsidRDefault="008F13FB" w14:paraId="032E38F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F13FB" w:rsidR="008F13FB" w:rsidP="008F13FB" w:rsidRDefault="008F13FB" w14:paraId="1F4C32CD" w14:textId="77777777">
      <w:pPr>
        <w:spacing w:after="0" w:line="276" w:lineRule="auto"/>
        <w:rPr>
          <w:rFonts w:ascii="Arial" w:hAnsi="Arial" w:eastAsia="Times New Roman" w:cs="Arial"/>
          <w:bCs/>
        </w:rPr>
      </w:pPr>
      <w:r w:rsidRPr="008F13FB">
        <w:rPr>
          <w:rFonts w:ascii="Arial" w:hAnsi="Arial" w:eastAsia="Times New Roman" w:cs="Arial"/>
          <w:b/>
          <w:bCs/>
        </w:rPr>
        <w:t xml:space="preserve">Note: </w:t>
      </w:r>
      <w:r w:rsidRPr="008F13FB">
        <w:rPr>
          <w:rFonts w:ascii="Arial" w:hAnsi="Arial" w:eastAsia="Times New Roman" w:cs="Arial"/>
        </w:rPr>
        <w:t xml:space="preserve">Communicate with a supervisor prior to working with any electrical apparatus. Only an electrical worker performs electrical work. No other worker is permitted to do electrical work in the workplace. The </w:t>
      </w:r>
      <w:r w:rsidRPr="008F13FB">
        <w:rPr>
          <w:rFonts w:ascii="Arial" w:hAnsi="Arial" w:eastAsia="Times New Roman" w:cs="Arial"/>
          <w:iCs/>
        </w:rPr>
        <w:t>WSH Regulation defines an</w:t>
      </w:r>
      <w:r w:rsidRPr="008F13FB">
        <w:rPr>
          <w:rFonts w:ascii="Arial" w:hAnsi="Arial" w:eastAsia="Times New Roman" w:cs="Arial"/>
        </w:rPr>
        <w:t xml:space="preserve"> "electrical worker" as a person authorized to do electrical work or restricted electrical work under The Electricians' License Act.</w:t>
      </w:r>
    </w:p>
    <w:p w:rsidRPr="008F13FB" w:rsidR="008F13FB" w:rsidP="008F13FB" w:rsidRDefault="008F13FB" w14:paraId="49459880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8F13FB" w:rsidR="008F13FB" w:rsidP="008F13FB" w:rsidRDefault="008F13FB" w14:paraId="0DF82F8F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</w:rPr>
      </w:pPr>
      <w:r w:rsidRPr="008F13FB">
        <w:rPr>
          <w:rFonts w:ascii="Arial" w:hAnsi="Arial" w:eastAsia="Times New Roman" w:cs="Arial"/>
          <w:b/>
          <w:bCs/>
        </w:rPr>
        <w:t>Employers must ensure that workers are trained and follow this safe work procedure.</w:t>
      </w:r>
    </w:p>
    <w:p w:rsidRPr="008F13FB" w:rsidR="008F13FB" w:rsidP="008F13FB" w:rsidRDefault="008F13FB" w14:paraId="05453840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</w:rPr>
      </w:pPr>
    </w:p>
    <w:p w:rsidRPr="008F13FB" w:rsidR="008F13FB" w:rsidP="008F13FB" w:rsidRDefault="008F13FB" w14:paraId="4B8BA4AC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sz w:val="24"/>
          <w:szCs w:val="24"/>
        </w:rPr>
      </w:pPr>
      <w:r w:rsidRPr="008F13FB">
        <w:rPr>
          <w:rFonts w:ascii="Arial" w:hAnsi="Arial" w:eastAsia="Times New Roman" w:cs="Arial"/>
          <w:b/>
          <w:bCs/>
          <w:sz w:val="24"/>
          <w:szCs w:val="24"/>
        </w:rPr>
        <w:t>Steps to complete this task safely:</w:t>
      </w:r>
    </w:p>
    <w:p w:rsidRPr="008F13FB" w:rsidR="008F13FB" w:rsidP="008F13FB" w:rsidRDefault="008F13FB" w14:paraId="473947E1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Pr="008F13FB" w:rsidR="008F13FB" w:rsidP="008F13FB" w:rsidRDefault="008F13FB" w14:paraId="7B876411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bCs/>
          <w:sz w:val="24"/>
          <w:szCs w:val="24"/>
        </w:rPr>
      </w:pPr>
      <w:r w:rsidRPr="008F13FB">
        <w:rPr>
          <w:rFonts w:ascii="Arial" w:hAnsi="Arial" w:eastAsia="Times New Roman" w:cs="Arial"/>
          <w:bCs/>
          <w:sz w:val="24"/>
          <w:szCs w:val="24"/>
        </w:rPr>
        <w:t>The electrical current in regular businesses and homes has enough power to cause death by electrocution. Even changing a light bulb without unplugging the lamp can be hazardous. For these reasons, it is vital that when maintenance or repair of electrical equipment is performed, the equipment is locked out-of-service and tested to its safety.</w:t>
      </w:r>
    </w:p>
    <w:p w:rsidRPr="008F13FB" w:rsidR="008F13FB" w:rsidP="008F13FB" w:rsidRDefault="008F13FB" w14:paraId="1416DE8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8F13FB" w:rsidR="008F13FB" w:rsidP="008F13FB" w:rsidRDefault="008F13FB" w14:paraId="4C62DE4B" w14:textId="50007996">
      <w:pPr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426" w:hanging="357"/>
        <w:rPr>
          <w:rFonts w:ascii="Arial" w:hAnsi="Arial" w:eastAsia="Times New Roman" w:cs="Arial"/>
          <w:sz w:val="24"/>
          <w:szCs w:val="24"/>
        </w:rPr>
      </w:pPr>
      <w:r w:rsidRPr="008F13FB">
        <w:rPr>
          <w:rFonts w:ascii="Arial" w:hAnsi="Arial" w:eastAsia="Times New Roman" w:cs="Arial"/>
          <w:sz w:val="24"/>
          <w:szCs w:val="24"/>
        </w:rPr>
        <w:t xml:space="preserve">Lockout/tagout before start of work and inspect areas for any exposed electrical cables, wet </w:t>
      </w:r>
      <w:r w:rsidRPr="008F13FB" w:rsidR="002F5117">
        <w:rPr>
          <w:rFonts w:ascii="Arial" w:hAnsi="Arial" w:eastAsia="Times New Roman" w:cs="Arial"/>
          <w:sz w:val="24"/>
          <w:szCs w:val="24"/>
        </w:rPr>
        <w:t>floors,</w:t>
      </w:r>
      <w:r w:rsidRPr="008F13FB">
        <w:rPr>
          <w:rFonts w:ascii="Arial" w:hAnsi="Arial" w:eastAsia="Times New Roman" w:cs="Arial"/>
          <w:sz w:val="24"/>
          <w:szCs w:val="24"/>
        </w:rPr>
        <w:t xml:space="preserve"> or damp areas. Always assume cables are live. Place barriers or warning signs to prevent unauthorized persons from getting near the work areas.</w:t>
      </w:r>
    </w:p>
    <w:p w:rsidRPr="008F13FB" w:rsidR="008F13FB" w:rsidP="008F13FB" w:rsidRDefault="008F13FB" w14:paraId="07F6BE83" w14:textId="526FD154">
      <w:pPr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426" w:hanging="357"/>
        <w:rPr>
          <w:rFonts w:ascii="Arial" w:hAnsi="Arial" w:eastAsia="Times New Roman" w:cs="Arial"/>
          <w:sz w:val="24"/>
          <w:szCs w:val="24"/>
        </w:rPr>
      </w:pPr>
      <w:r w:rsidRPr="008F13FB">
        <w:rPr>
          <w:rFonts w:ascii="Arial" w:hAnsi="Arial" w:eastAsia="Times New Roman" w:cs="Arial"/>
          <w:sz w:val="24"/>
          <w:szCs w:val="24"/>
        </w:rPr>
        <w:t xml:space="preserve">Inspect the area for any flammable materials (e.g., chemicals, combustible </w:t>
      </w:r>
      <w:r w:rsidRPr="008F13FB" w:rsidR="002F5117">
        <w:rPr>
          <w:rFonts w:ascii="Arial" w:hAnsi="Arial" w:eastAsia="Times New Roman" w:cs="Arial"/>
          <w:sz w:val="24"/>
          <w:szCs w:val="24"/>
        </w:rPr>
        <w:t>materials,</w:t>
      </w:r>
      <w:r w:rsidRPr="008F13FB">
        <w:rPr>
          <w:rFonts w:ascii="Arial" w:hAnsi="Arial" w:eastAsia="Times New Roman" w:cs="Arial"/>
          <w:sz w:val="24"/>
          <w:szCs w:val="24"/>
        </w:rPr>
        <w:t xml:space="preserve"> and gases, etc.) before testing.</w:t>
      </w:r>
    </w:p>
    <w:p w:rsidRPr="008F13FB" w:rsidR="008F13FB" w:rsidP="008F13FB" w:rsidRDefault="008F13FB" w14:paraId="1FF76436" w14:textId="77777777">
      <w:pPr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426" w:hanging="357"/>
        <w:rPr>
          <w:rFonts w:ascii="Arial" w:hAnsi="Arial" w:eastAsia="Times New Roman" w:cs="Arial"/>
          <w:sz w:val="24"/>
          <w:szCs w:val="24"/>
        </w:rPr>
      </w:pPr>
      <w:r w:rsidRPr="008F13FB">
        <w:rPr>
          <w:rFonts w:ascii="Arial" w:hAnsi="Arial" w:eastAsia="Times New Roman" w:cs="Arial"/>
          <w:sz w:val="24"/>
          <w:szCs w:val="24"/>
        </w:rPr>
        <w:t>Verify that the equipment is de-energized by switching on the apparatus or using a tester. If not, locate the main switch and perform lockout/tagout. Note: If operating a piece of equipment, ensure guards are in place.</w:t>
      </w:r>
    </w:p>
    <w:p w:rsidRPr="008F13FB" w:rsidR="008F13FB" w:rsidP="008F13FB" w:rsidRDefault="008F13FB" w14:paraId="70CC1D11" w14:textId="77777777">
      <w:pPr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426" w:hanging="357"/>
        <w:rPr>
          <w:rFonts w:ascii="Arial" w:hAnsi="Arial" w:eastAsia="Times New Roman" w:cs="Arial"/>
          <w:sz w:val="24"/>
          <w:szCs w:val="24"/>
        </w:rPr>
      </w:pPr>
      <w:r w:rsidRPr="008F13FB">
        <w:rPr>
          <w:rFonts w:ascii="Arial" w:hAnsi="Arial" w:eastAsia="Times New Roman" w:cs="Arial"/>
          <w:sz w:val="24"/>
          <w:szCs w:val="24"/>
        </w:rPr>
        <w:t>If extension cords are used across an area, ensure they are fastened to the floor to avoid tripping and falling. If possible, place the cord overhead.</w:t>
      </w:r>
    </w:p>
    <w:p w:rsidRPr="008F13FB" w:rsidR="008F13FB" w:rsidP="008F13FB" w:rsidRDefault="008F13FB" w14:paraId="618410E1" w14:textId="3C05ABE7">
      <w:pPr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426" w:hanging="357"/>
        <w:rPr>
          <w:rFonts w:ascii="Arial" w:hAnsi="Arial" w:eastAsia="Times New Roman" w:cs="Arial"/>
          <w:sz w:val="24"/>
          <w:szCs w:val="24"/>
        </w:rPr>
      </w:pPr>
      <w:r w:rsidRPr="008F13FB">
        <w:rPr>
          <w:rFonts w:ascii="Arial" w:hAnsi="Arial" w:eastAsia="Times New Roman" w:cs="Arial"/>
          <w:sz w:val="24"/>
          <w:szCs w:val="24"/>
        </w:rPr>
        <w:t xml:space="preserve">Use the appropriate extension cord's rating to prevent overheating, </w:t>
      </w:r>
      <w:r w:rsidRPr="008F13FB" w:rsidR="002F5117">
        <w:rPr>
          <w:rFonts w:ascii="Arial" w:hAnsi="Arial" w:eastAsia="Times New Roman" w:cs="Arial"/>
          <w:sz w:val="24"/>
          <w:szCs w:val="24"/>
        </w:rPr>
        <w:t>electrocution,</w:t>
      </w:r>
      <w:r w:rsidRPr="008F13FB">
        <w:rPr>
          <w:rFonts w:ascii="Arial" w:hAnsi="Arial" w:eastAsia="Times New Roman" w:cs="Arial"/>
          <w:sz w:val="24"/>
          <w:szCs w:val="24"/>
        </w:rPr>
        <w:t xml:space="preserve"> or fire.</w:t>
      </w:r>
    </w:p>
    <w:p w:rsidRPr="008F13FB" w:rsidR="008F13FB" w:rsidP="008F13FB" w:rsidRDefault="008F13FB" w14:paraId="228883BF" w14:textId="77777777">
      <w:pPr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426" w:hanging="357"/>
        <w:rPr>
          <w:rFonts w:ascii="Arial" w:hAnsi="Arial" w:eastAsia="Times New Roman" w:cs="Arial"/>
          <w:sz w:val="24"/>
          <w:szCs w:val="24"/>
        </w:rPr>
      </w:pPr>
      <w:r w:rsidRPr="008F13FB">
        <w:rPr>
          <w:rFonts w:ascii="Arial" w:hAnsi="Arial" w:eastAsia="Times New Roman" w:cs="Arial"/>
          <w:sz w:val="24"/>
          <w:szCs w:val="24"/>
        </w:rPr>
        <w:t>If working at a height of 3 metres or more, use fall protection (e.g., full body harness, ladder, railings, etc.) and ask someone for assistance.</w:t>
      </w:r>
    </w:p>
    <w:p w:rsidRPr="008F13FB" w:rsidR="008F13FB" w:rsidP="008F13FB" w:rsidRDefault="008F13FB" w14:paraId="6A330176" w14:textId="77777777">
      <w:pPr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426" w:hanging="357"/>
        <w:rPr>
          <w:rFonts w:ascii="Arial" w:hAnsi="Arial" w:eastAsia="Times New Roman" w:cs="Arial"/>
          <w:sz w:val="24"/>
          <w:szCs w:val="24"/>
        </w:rPr>
      </w:pPr>
      <w:r w:rsidRPr="008F13FB">
        <w:rPr>
          <w:rFonts w:ascii="Arial" w:hAnsi="Arial" w:eastAsia="Times New Roman" w:cs="Arial"/>
          <w:sz w:val="24"/>
          <w:szCs w:val="24"/>
        </w:rPr>
        <w:t>Always use Ground Fault Circuit Interrupters (GFCIs). GFCIs will de-energize a piece of equipment when it senses a current overload on the system.</w:t>
      </w:r>
    </w:p>
    <w:p w:rsidRPr="008F13FB" w:rsidR="008F13FB" w:rsidP="008F13FB" w:rsidRDefault="008F13FB" w14:paraId="41CC0C38" w14:textId="77777777">
      <w:pPr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426" w:hanging="357"/>
        <w:rPr>
          <w:rFonts w:ascii="Arial" w:hAnsi="Arial" w:eastAsia="Times New Roman" w:cs="Arial"/>
          <w:sz w:val="24"/>
          <w:szCs w:val="24"/>
        </w:rPr>
      </w:pPr>
      <w:r w:rsidRPr="008F13FB">
        <w:rPr>
          <w:rFonts w:ascii="Arial" w:hAnsi="Arial" w:eastAsia="Times New Roman" w:cs="Arial"/>
          <w:sz w:val="24"/>
          <w:szCs w:val="24"/>
        </w:rPr>
        <w:t xml:space="preserve">If working alone, inform your supervisor of your location and the time you will be working. </w:t>
      </w:r>
    </w:p>
    <w:p w:rsidRPr="008F13FB" w:rsidR="008F13FB" w:rsidP="008F13FB" w:rsidRDefault="008F13FB" w14:paraId="4BFD9FF4" w14:textId="59EB3A1B">
      <w:pPr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426" w:hanging="357"/>
        <w:rPr>
          <w:rFonts w:ascii="Arial" w:hAnsi="Arial" w:eastAsia="Times New Roman" w:cs="Arial"/>
          <w:sz w:val="24"/>
          <w:szCs w:val="24"/>
        </w:rPr>
      </w:pPr>
      <w:r w:rsidRPr="008F13FB">
        <w:rPr>
          <w:rFonts w:ascii="Arial" w:hAnsi="Arial" w:eastAsia="Times New Roman" w:cs="Arial"/>
          <w:sz w:val="24"/>
          <w:szCs w:val="24"/>
        </w:rPr>
        <w:t xml:space="preserve">After the work has been completed, clear the area, report to your </w:t>
      </w:r>
      <w:r w:rsidRPr="008F13FB" w:rsidR="002F5117">
        <w:rPr>
          <w:rFonts w:ascii="Arial" w:hAnsi="Arial" w:eastAsia="Times New Roman" w:cs="Arial"/>
          <w:sz w:val="24"/>
          <w:szCs w:val="24"/>
        </w:rPr>
        <w:t>supervisor,</w:t>
      </w:r>
      <w:r w:rsidRPr="008F13FB">
        <w:rPr>
          <w:rFonts w:ascii="Arial" w:hAnsi="Arial" w:eastAsia="Times New Roman" w:cs="Arial"/>
          <w:sz w:val="24"/>
          <w:szCs w:val="24"/>
        </w:rPr>
        <w:t xml:space="preserve"> and remove the lockout/tagout.</w:t>
      </w:r>
    </w:p>
    <w:p w:rsidRPr="008F13FB" w:rsidR="008F13FB" w:rsidP="008F13FB" w:rsidRDefault="008F13FB" w14:paraId="5BEE24C9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="00B21A33" w:rsidRDefault="00B21A33" w14:paraId="5AC38594" w14:textId="77777777"/>
    <w:sectPr w:rsidR="00B21A33" w:rsidSect="00115E6A">
      <w:footerReference w:type="even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F5117" w14:paraId="25A8C2A2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2F5117" w14:paraId="5C006F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8F13FB" w14:paraId="5A06285B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2F5117" w14:paraId="3947162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8F13FB" w14:paraId="7612564F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8F13FB">
          <w:rPr>
            <w:rStyle w:val="PageNumber"/>
            <w:rFonts w:ascii="Arial" w:hAnsi="Arial" w:cs="Arial"/>
          </w:rPr>
          <w:fldChar w:fldCharType="begin"/>
        </w:r>
        <w:r w:rsidRPr="008F13FB">
          <w:rPr>
            <w:rStyle w:val="PageNumber"/>
            <w:rFonts w:ascii="Arial" w:hAnsi="Arial" w:cs="Arial"/>
          </w:rPr>
          <w:instrText xml:space="preserve"> PAGE </w:instrText>
        </w:r>
        <w:r w:rsidRPr="008F13FB">
          <w:rPr>
            <w:rStyle w:val="PageNumber"/>
            <w:rFonts w:ascii="Arial" w:hAnsi="Arial" w:cs="Arial"/>
          </w:rPr>
          <w:fldChar w:fldCharType="separate"/>
        </w:r>
        <w:r w:rsidRPr="008F13FB">
          <w:rPr>
            <w:rStyle w:val="PageNumber"/>
            <w:rFonts w:ascii="Arial" w:hAnsi="Arial" w:cs="Arial"/>
            <w:noProof/>
          </w:rPr>
          <w:t>1</w:t>
        </w:r>
        <w:r w:rsidRPr="008F13FB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2F5117" w14:paraId="388612CE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F5117" w14:paraId="2A396A68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2F5117" w14:paraId="46D40BB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671A"/>
    <w:multiLevelType w:val="hybridMultilevel"/>
    <w:tmpl w:val="3AC051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4D31FD5"/>
    <w:multiLevelType w:val="hybridMultilevel"/>
    <w:tmpl w:val="D70A2784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A007B06"/>
    <w:multiLevelType w:val="hybridMultilevel"/>
    <w:tmpl w:val="ACB8A768"/>
    <w:lvl w:ilvl="0" w:tplc="04090001">
      <w:start w:val="1"/>
      <w:numFmt w:val="bullet"/>
      <w:lvlText w:val=""/>
      <w:lvlJc w:val="left"/>
      <w:pPr>
        <w:ind w:left="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hint="default" w:ascii="Wingdings" w:hAnsi="Wingdings"/>
      </w:rPr>
    </w:lvl>
  </w:abstractNum>
  <w:num w:numId="1" w16cid:durableId="1076973938">
    <w:abstractNumId w:val="0"/>
  </w:num>
  <w:num w:numId="2" w16cid:durableId="977805386">
    <w:abstractNumId w:val="1"/>
  </w:num>
  <w:num w:numId="3" w16cid:durableId="1678382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FB"/>
    <w:rsid w:val="002F5117"/>
    <w:rsid w:val="004D378D"/>
    <w:rsid w:val="00733B16"/>
    <w:rsid w:val="008F13FB"/>
    <w:rsid w:val="00AA1A3F"/>
    <w:rsid w:val="00B21A33"/>
    <w:rsid w:val="235E0FAA"/>
    <w:rsid w:val="45A2E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50505"/>
  <w15:chartTrackingRefBased/>
  <w15:docId w15:val="{90B25B86-133A-4FED-B567-8FA9372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8F13FB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8F13F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8F13FB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F13FB"/>
  </w:style>
  <w:style w:type="table" w:styleId="TableGridLight">
    <w:name w:val="Grid Table Light"/>
    <w:basedOn w:val="TableNormal"/>
    <w:uiPriority w:val="40"/>
    <w:rsid w:val="008F13F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20bf1840c53246b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4fa6a-6c7d-4f85-a126-8e6b1eb04c25}"/>
      </w:docPartPr>
      <w:docPartBody>
        <w:p w14:paraId="17B59CF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789E4560-23C3-44BA-B1F3-16C01A93B9B3}"/>
</file>

<file path=customXml/itemProps2.xml><?xml version="1.0" encoding="utf-8"?>
<ds:datastoreItem xmlns:ds="http://schemas.openxmlformats.org/officeDocument/2006/customXml" ds:itemID="{CE6AEA63-6730-46B5-BA42-B69E4649A58C}"/>
</file>

<file path=customXml/itemProps3.xml><?xml version="1.0" encoding="utf-8"?>
<ds:datastoreItem xmlns:ds="http://schemas.openxmlformats.org/officeDocument/2006/customXml" ds:itemID="{559DC9DD-0650-453B-80F4-F55F536288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6</cp:revision>
  <dcterms:created xsi:type="dcterms:W3CDTF">2023-03-17T14:26:00Z</dcterms:created>
  <dcterms:modified xsi:type="dcterms:W3CDTF">2023-07-25T15:26:59Z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