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24680" w:rsidR="007B63A0" w:rsidP="007B63A0" w:rsidRDefault="007B63A0" w14:paraId="4FA7405A" w14:textId="77777777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Times New Roman" w:asciiTheme="majorHAnsi" w:hAnsiTheme="majorHAnsi" w:cstheme="majorHAnsi"/>
          <w:kern w:val="0"/>
          <w:sz w:val="28"/>
          <w:szCs w:val="28"/>
          <w:lang w:val="en-US"/>
          <w14:ligatures w14:val="none"/>
        </w:rPr>
      </w:pPr>
      <w:r w:rsidRPr="00624680">
        <w:rPr>
          <w:rFonts w:eastAsia="Times New Roman" w:asciiTheme="majorHAnsi" w:hAnsiTheme="majorHAnsi" w:cstheme="majorHAnsi"/>
          <w:kern w:val="0"/>
          <w:sz w:val="28"/>
          <w:szCs w:val="28"/>
          <w:lang w:val="en-US"/>
          <w14:ligatures w14:val="none"/>
        </w:rPr>
        <w:t xml:space="preserve">Safe </w:t>
      </w:r>
      <w:r>
        <w:rPr>
          <w:rFonts w:eastAsia="Times New Roman" w:asciiTheme="majorHAnsi" w:hAnsiTheme="majorHAnsi" w:cstheme="majorHAnsi"/>
          <w:kern w:val="0"/>
          <w:sz w:val="28"/>
          <w:szCs w:val="28"/>
          <w:lang w:val="en-US"/>
          <w14:ligatures w14:val="none"/>
        </w:rPr>
        <w:t xml:space="preserve">Job Procedure </w:t>
      </w:r>
    </w:p>
    <w:p w:rsidRPr="00492D4B" w:rsidR="007B63A0" w:rsidP="007B63A0" w:rsidRDefault="007B63A0" w14:paraId="5E5CA2BF" w14:textId="10F26D9A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pacing w:line="480" w:lineRule="auto"/>
        <w:rPr>
          <w:rStyle w:val="normaltextrun"/>
          <w:rFonts w:asciiTheme="majorHAnsi" w:hAnsiTheme="majorHAnsi" w:cstheme="majorHAnsi"/>
          <w:b/>
          <w:bCs/>
          <w:sz w:val="28"/>
          <w:szCs w:val="28"/>
        </w:rPr>
      </w:pPr>
      <w:r w:rsidRPr="7A59B77E" w:rsidR="007B63A0">
        <w:rPr>
          <w:rFonts w:ascii="Calibri Light" w:hAnsi="Calibri Light" w:eastAsia="Times New Roman" w:cs="Calibri Light" w:asciiTheme="majorAscii" w:hAnsiTheme="majorAscii" w:cstheme="majorAscii"/>
          <w:b w:val="1"/>
          <w:bCs w:val="1"/>
          <w:kern w:val="0"/>
          <w:sz w:val="28"/>
          <w:szCs w:val="28"/>
          <w:lang w:val="en-US"/>
          <w14:ligatures w14:val="none"/>
        </w:rPr>
        <w:t>Refueling</w:t>
      </w:r>
      <w:r w:rsidRPr="00492D4B">
        <w:rPr>
          <w:rFonts w:eastAsia="Times New Roman" w:asciiTheme="majorHAnsi" w:hAnsiTheme="majorHAnsi" w:cstheme="majorHAnsi"/>
          <w:b/>
          <w:bCs/>
          <w:kern w:val="0"/>
          <w:sz w:val="28"/>
          <w:szCs w:val="28"/>
          <w:lang w:val="en-US"/>
          <w14:ligatures w14:val="none"/>
        </w:rPr>
        <w:tab/>
      </w:r>
      <w:r w:rsidRPr="00492D4B">
        <w:rPr>
          <w:rFonts w:eastAsia="Times New Roman" w:asciiTheme="majorHAnsi" w:hAnsiTheme="majorHAnsi" w:cstheme="majorHAnsi"/>
          <w:b/>
          <w:bCs/>
          <w:kern w:val="0"/>
          <w:sz w:val="28"/>
          <w:szCs w:val="28"/>
          <w:lang w:val="en-US"/>
          <w14:ligatures w14:val="none"/>
        </w:rPr>
        <w:tab/>
      </w:r>
      <w:r w:rsidRPr="00492D4B">
        <w:rPr>
          <w:rFonts w:eastAsia="Times New Roman" w:asciiTheme="majorHAnsi" w:hAnsiTheme="majorHAnsi" w:cstheme="majorHAnsi"/>
          <w:b/>
          <w:bCs/>
          <w:kern w:val="0"/>
          <w:sz w:val="28"/>
          <w:szCs w:val="28"/>
          <w:lang w:val="en-US"/>
          <w14:ligatures w14:val="none"/>
        </w:rPr>
        <w:tab/>
      </w:r>
      <w:r w:rsidRPr="00492D4B">
        <w:rPr>
          <w:rFonts w:eastAsia="Times New Roman" w:asciiTheme="majorHAnsi" w:hAnsiTheme="majorHAnsi" w:cstheme="majorHAnsi"/>
          <w:b/>
          <w:bCs/>
          <w:kern w:val="0"/>
          <w:sz w:val="28"/>
          <w:szCs w:val="28"/>
          <w:lang w:val="en-US"/>
          <w14:ligatures w14:val="none"/>
        </w:rPr>
        <w:tab/>
      </w:r>
      <w:r w:rsidRPr="00492D4B">
        <w:rPr>
          <w:rFonts w:eastAsia="Times New Roman" w:asciiTheme="majorHAnsi" w:hAnsiTheme="majorHAnsi" w:cstheme="majorHAnsi"/>
          <w:b/>
          <w:bCs/>
          <w:kern w:val="0"/>
          <w:sz w:val="28"/>
          <w:szCs w:val="28"/>
          <w:lang w:val="en-US"/>
          <w14:ligatures w14:val="none"/>
        </w:rPr>
        <w:tab/>
      </w:r>
      <w:r w:rsidRPr="00492D4B">
        <w:rPr>
          <w:rFonts w:eastAsia="Times New Roman" w:asciiTheme="majorHAnsi" w:hAnsiTheme="majorHAnsi" w:cstheme="majorHAnsi"/>
          <w:b/>
          <w:bCs/>
          <w:kern w:val="0"/>
          <w:sz w:val="28"/>
          <w:szCs w:val="28"/>
          <w:lang w:val="en-US"/>
          <w14:ligatures w14:val="none"/>
        </w:rPr>
        <w:tab/>
      </w:r>
      <w:r w:rsidRPr="7A59B77E" w:rsidR="007B63A0">
        <w:rPr>
          <w:rFonts w:ascii="Calibri Light" w:hAnsi="Calibri Light" w:eastAsia="Times New Roman" w:cs="Calibri Light" w:asciiTheme="majorAscii" w:hAnsiTheme="majorAscii" w:cstheme="majorAscii"/>
          <w:b w:val="1"/>
          <w:bCs w:val="1"/>
          <w:kern w:val="0"/>
          <w:sz w:val="28"/>
          <w:szCs w:val="28"/>
          <w:lang w:val="en-US"/>
          <w14:ligatures w14:val="none"/>
        </w:rPr>
        <w:t xml:space="preserve">    </w:t>
      </w:r>
      <w:r>
        <w:rPr>
          <w:rFonts w:eastAsia="Times New Roman" w:asciiTheme="majorHAnsi" w:hAnsiTheme="majorHAnsi" w:cstheme="majorHAnsi"/>
          <w:b/>
          <w:bCs/>
          <w:kern w:val="0"/>
          <w:sz w:val="28"/>
          <w:szCs w:val="28"/>
          <w:lang w:val="en-US"/>
          <w14:ligatures w14:val="none"/>
        </w:rPr>
        <w:tab/>
      </w:r>
      <w:r>
        <w:rPr>
          <w:rFonts w:eastAsia="Times New Roman" w:asciiTheme="majorHAnsi" w:hAnsiTheme="majorHAnsi" w:cstheme="majorHAnsi"/>
          <w:b/>
          <w:bCs/>
          <w:kern w:val="0"/>
          <w:sz w:val="28"/>
          <w:szCs w:val="28"/>
          <w:lang w:val="en-US"/>
          <w14:ligatures w14:val="none"/>
        </w:rPr>
        <w:tab/>
      </w:r>
      <w:r w:rsidR="00351D57">
        <w:rPr>
          <w:rFonts w:eastAsia="Times New Roman" w:asciiTheme="majorHAnsi" w:hAnsiTheme="majorHAnsi" w:cstheme="majorHAnsi"/>
          <w:b/>
          <w:bCs/>
          <w:kern w:val="0"/>
          <w:sz w:val="28"/>
          <w:szCs w:val="28"/>
          <w:lang w:val="en-US"/>
          <w14:ligatures w14:val="none"/>
        </w:rPr>
        <w:tab/>
      </w:r>
      <w:r w:rsidR="00351D57">
        <w:rPr>
          <w:rFonts w:eastAsia="Times New Roman" w:asciiTheme="majorHAnsi" w:hAnsiTheme="majorHAnsi" w:cstheme="majorHAnsi"/>
          <w:b/>
          <w:bCs/>
          <w:kern w:val="0"/>
          <w:sz w:val="28"/>
          <w:szCs w:val="28"/>
          <w:lang w:val="en-US"/>
          <w14:ligatures w14:val="none"/>
        </w:rPr>
        <w:tab/>
      </w:r>
      <w:r w:rsidR="00351D57">
        <w:rPr>
          <w:rFonts w:eastAsia="Times New Roman" w:asciiTheme="majorHAnsi" w:hAnsiTheme="majorHAnsi" w:cstheme="majorHAnsi"/>
          <w:b/>
          <w:bCs/>
          <w:kern w:val="0"/>
          <w:sz w:val="28"/>
          <w:szCs w:val="28"/>
          <w:lang w:val="en-US"/>
          <w14:ligatures w14:val="none"/>
        </w:rPr>
        <w:tab/>
      </w:r>
      <w:r w:rsidRPr="7A59B77E" w:rsidR="007B63A0">
        <w:rPr>
          <w:rFonts w:ascii="Calibri Light" w:hAnsi="Calibri Light" w:eastAsia="Times New Roman" w:cs="Calibri Light" w:asciiTheme="majorAscii" w:hAnsiTheme="majorAscii" w:cstheme="majorAscii"/>
          <w:b w:val="1"/>
          <w:bCs w:val="1"/>
          <w:kern w:val="0"/>
          <w:sz w:val="28"/>
          <w:szCs w:val="28"/>
          <w:lang w:val="en-US"/>
          <w14:ligatures w14:val="none"/>
        </w:rPr>
        <w:t>2024</w:t>
      </w:r>
    </w:p>
    <w:p w:rsidR="7A59B77E" w:rsidP="7A59B77E" w:rsidRDefault="7A59B77E" w14:paraId="29C0FFCE" w14:textId="03440E5D">
      <w:pPr>
        <w:spacing w:beforeAutospacing="on" w:afterAutospacing="on" w:line="240" w:lineRule="auto"/>
        <w:ind w:left="720"/>
        <w:rPr>
          <w:rFonts w:eastAsia="Times New Roman" w:cs="Calibri" w:cstheme="minorAscii"/>
          <w:sz w:val="24"/>
          <w:szCs w:val="24"/>
          <w:lang w:eastAsia="en-CA"/>
        </w:rPr>
      </w:pPr>
    </w:p>
    <w:p w:rsidRPr="003C32E2" w:rsidR="007B63A0" w:rsidP="007B63A0" w:rsidRDefault="007B63A0" w14:paraId="22DC625D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b/>
          <w:bCs/>
          <w:kern w:val="0"/>
          <w:sz w:val="24"/>
          <w:szCs w:val="24"/>
          <w:lang w:eastAsia="en-CA"/>
          <w14:ligatures w14:val="none"/>
        </w:rPr>
        <w:t>Engine Shutdown:</w:t>
      </w:r>
    </w:p>
    <w:p w:rsidRPr="003C32E2" w:rsidR="007B63A0" w:rsidP="007B63A0" w:rsidRDefault="007B63A0" w14:paraId="7BB64F9D" w14:textId="7777777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Ensure the engine of the vehicle or equipment being refueled is turned off before beginning the refueling process.</w:t>
      </w:r>
    </w:p>
    <w:p w:rsidRPr="003C32E2" w:rsidR="007B63A0" w:rsidP="007B63A0" w:rsidRDefault="007B63A0" w14:paraId="1C194554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b/>
          <w:bCs/>
          <w:kern w:val="0"/>
          <w:sz w:val="24"/>
          <w:szCs w:val="24"/>
          <w:lang w:eastAsia="en-CA"/>
          <w14:ligatures w14:val="none"/>
        </w:rPr>
        <w:t>Grounding and Bonding:</w:t>
      </w:r>
    </w:p>
    <w:p w:rsidRPr="003C32E2" w:rsidR="007B63A0" w:rsidP="007B63A0" w:rsidRDefault="007B63A0" w14:paraId="108574C5" w14:textId="7777777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If refueling flammable liquids, ground both the vehicle or equipment and the fuel container to prevent static electricity buildup.</w:t>
      </w:r>
    </w:p>
    <w:p w:rsidRPr="003C32E2" w:rsidR="007B63A0" w:rsidP="007B63A0" w:rsidRDefault="007B63A0" w14:paraId="6ADD6774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b/>
          <w:bCs/>
          <w:kern w:val="0"/>
          <w:sz w:val="24"/>
          <w:szCs w:val="24"/>
          <w:lang w:eastAsia="en-CA"/>
          <w14:ligatures w14:val="none"/>
        </w:rPr>
        <w:t>Fuel Selection and Handling:</w:t>
      </w:r>
    </w:p>
    <w:p w:rsidRPr="003C32E2" w:rsidR="007B63A0" w:rsidP="007B63A0" w:rsidRDefault="007B63A0" w14:paraId="4AD6CEB1" w14:textId="7777777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Use only approved fuel types and containers suitable for the vehicle or equipment specifications.</w:t>
      </w:r>
    </w:p>
    <w:p w:rsidRPr="003C32E2" w:rsidR="007B63A0" w:rsidP="007B63A0" w:rsidRDefault="007B63A0" w14:paraId="2DC43864" w14:textId="7777777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Handle fuel containers carefully to prevent spills, using spill containment measures if necessary.</w:t>
      </w:r>
    </w:p>
    <w:p w:rsidRPr="003C32E2" w:rsidR="007B63A0" w:rsidP="007B63A0" w:rsidRDefault="007B63A0" w14:paraId="5BB410DE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b/>
          <w:bCs/>
          <w:kern w:val="0"/>
          <w:sz w:val="24"/>
          <w:szCs w:val="24"/>
          <w:lang w:eastAsia="en-CA"/>
          <w14:ligatures w14:val="none"/>
        </w:rPr>
        <w:t>Control Spill Risks:</w:t>
      </w:r>
    </w:p>
    <w:p w:rsidRPr="003C32E2" w:rsidR="007B63A0" w:rsidP="007B63A0" w:rsidRDefault="007B63A0" w14:paraId="25F80BDC" w14:textId="7777777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Use drip pans or absorbent materials to control and promptly clean up any spills that occur during refueling.</w:t>
      </w:r>
    </w:p>
    <w:p w:rsidRPr="003C32E2" w:rsidR="007B63A0" w:rsidP="007B63A0" w:rsidRDefault="007B63A0" w14:paraId="37EBD063" w14:textId="7777777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Report spills or leaks immediately to supervisors and environmental management.</w:t>
      </w:r>
    </w:p>
    <w:p w:rsidRPr="003C32E2" w:rsidR="007B63A0" w:rsidP="007B63A0" w:rsidRDefault="007B63A0" w14:paraId="6CA63B28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b/>
          <w:bCs/>
          <w:kern w:val="0"/>
          <w:sz w:val="24"/>
          <w:szCs w:val="24"/>
          <w:lang w:eastAsia="en-CA"/>
          <w14:ligatures w14:val="none"/>
        </w:rPr>
        <w:t>Monitoring:</w:t>
      </w:r>
    </w:p>
    <w:p w:rsidRPr="003C32E2" w:rsidR="007B63A0" w:rsidP="007B63A0" w:rsidRDefault="007B63A0" w14:paraId="40385B87" w14:textId="7777777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During refueling, continuously monitor the process to ensure proper fuel flow and to detect any leaks or abnormalities.</w:t>
      </w:r>
    </w:p>
    <w:p w:rsidRPr="003C32E2" w:rsidR="007B63A0" w:rsidP="007B63A0" w:rsidRDefault="007B63A0" w14:paraId="4D1C166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b/>
          <w:bCs/>
          <w:kern w:val="0"/>
          <w:sz w:val="24"/>
          <w:szCs w:val="24"/>
          <w:lang w:eastAsia="en-CA"/>
          <w14:ligatures w14:val="none"/>
        </w:rPr>
        <w:t>Emergency Shutdown Procedure:</w:t>
      </w:r>
    </w:p>
    <w:p w:rsidRPr="003C32E2" w:rsidR="007B63A0" w:rsidP="007B63A0" w:rsidRDefault="007B63A0" w14:paraId="4993FE0D" w14:textId="7777777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In the event of a spill, leak, or suspected equipment malfunction, immediately stop the refueling process and follow the emergency shutdown procedure.</w:t>
      </w:r>
    </w:p>
    <w:p w:rsidRPr="003C32E2" w:rsidR="007B63A0" w:rsidP="7A59B77E" w:rsidRDefault="007B63A0" w14:paraId="4D861F00" w14:textId="70281612">
      <w:pPr>
        <w:numPr>
          <w:ilvl w:val="1"/>
          <w:numId w:val="1"/>
        </w:numPr>
        <w:spacing w:before="100" w:beforeAutospacing="on" w:after="100" w:afterAutospacing="on" w:line="240" w:lineRule="auto"/>
        <w:rPr>
          <w:rFonts w:eastAsia="Times New Roman" w:cs="Calibri" w:cstheme="minorAscii"/>
          <w:kern w:val="0"/>
          <w:sz w:val="24"/>
          <w:szCs w:val="24"/>
          <w:lang w:eastAsia="en-CA"/>
          <w14:ligatures w14:val="none"/>
        </w:rPr>
      </w:pPr>
      <w:r w:rsidRPr="7A59B77E" w:rsidR="007B63A0">
        <w:rPr>
          <w:rFonts w:eastAsia="Times New Roman" w:cs="Calibri" w:cstheme="minorAscii"/>
          <w:kern w:val="0"/>
          <w:sz w:val="24"/>
          <w:szCs w:val="24"/>
          <w:lang w:eastAsia="en-CA"/>
          <w14:ligatures w14:val="none"/>
        </w:rPr>
        <w:t xml:space="preserve">Notify </w:t>
      </w:r>
      <w:r w:rsidRPr="7A59B77E" w:rsidR="007B63A0">
        <w:rPr>
          <w:rFonts w:eastAsia="Times New Roman" w:cs="Calibri" w:cstheme="minorAscii"/>
          <w:kern w:val="0"/>
          <w:sz w:val="24"/>
          <w:szCs w:val="24"/>
          <w:lang w:eastAsia="en-CA"/>
          <w14:ligatures w14:val="none"/>
        </w:rPr>
        <w:t>appropriate personnel</w:t>
      </w:r>
      <w:r w:rsidRPr="7A59B77E" w:rsidR="007B63A0">
        <w:rPr>
          <w:rFonts w:eastAsia="Times New Roman" w:cs="Calibri" w:cstheme="minorAscii"/>
          <w:kern w:val="0"/>
          <w:sz w:val="24"/>
          <w:szCs w:val="24"/>
          <w:lang w:eastAsia="en-CA"/>
          <w14:ligatures w14:val="none"/>
        </w:rPr>
        <w:t xml:space="preserve"> and implement spill response procedures as needed.</w:t>
      </w:r>
      <w:r>
        <w:br/>
      </w:r>
    </w:p>
    <w:p w:rsidR="4F9D3CA4" w:rsidRDefault="4F9D3CA4" w14:paraId="3FAF5AD4" w14:textId="54F63679">
      <w:r>
        <w:br w:type="page"/>
      </w:r>
    </w:p>
    <w:p w:rsidRPr="003C32E2" w:rsidR="007B63A0" w:rsidP="4F9D3CA4" w:rsidRDefault="007B63A0" w14:paraId="2D601A85" w14:textId="769B2E52">
      <w:pPr>
        <w:spacing w:before="100" w:beforeAutospacing="on" w:after="100" w:afterAutospacing="on" w:line="240" w:lineRule="auto"/>
        <w:outlineLvl w:val="3"/>
        <w:rPr>
          <w:rFonts w:eastAsia="Times New Roman" w:cs="Calibri" w:cstheme="minorAscii"/>
          <w:b w:val="1"/>
          <w:bCs w:val="1"/>
          <w:kern w:val="0"/>
          <w:sz w:val="24"/>
          <w:szCs w:val="24"/>
          <w:lang w:eastAsia="en-CA"/>
          <w14:ligatures w14:val="none"/>
        </w:rPr>
      </w:pPr>
      <w:r w:rsidRPr="4F9D3CA4" w:rsidR="007B63A0">
        <w:rPr>
          <w:rFonts w:eastAsia="Times New Roman" w:cs="Calibri" w:cstheme="minorAscii"/>
          <w:b w:val="1"/>
          <w:bCs w:val="1"/>
          <w:kern w:val="0"/>
          <w:sz w:val="24"/>
          <w:szCs w:val="24"/>
          <w:lang w:eastAsia="en-CA"/>
          <w14:ligatures w14:val="none"/>
        </w:rPr>
        <w:t>Post-Refueling Procedure</w:t>
      </w:r>
      <w:r>
        <w:br/>
      </w:r>
    </w:p>
    <w:p w:rsidRPr="003C32E2" w:rsidR="007B63A0" w:rsidP="007B63A0" w:rsidRDefault="007B63A0" w14:paraId="5AE619C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b/>
          <w:bCs/>
          <w:kern w:val="0"/>
          <w:sz w:val="24"/>
          <w:szCs w:val="24"/>
          <w:lang w:eastAsia="en-CA"/>
          <w14:ligatures w14:val="none"/>
        </w:rPr>
        <w:t>Equipment Inspection:</w:t>
      </w:r>
    </w:p>
    <w:p w:rsidRPr="003C32E2" w:rsidR="007B63A0" w:rsidP="007B63A0" w:rsidRDefault="007B63A0" w14:paraId="48781A12" w14:textId="7777777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Inspect the refueled vehicle or equipment for leaks, ensure all fuel caps are securely fastened, and check for signs of fuel spillage.</w:t>
      </w:r>
    </w:p>
    <w:p w:rsidRPr="003C32E2" w:rsidR="007B63A0" w:rsidP="007B63A0" w:rsidRDefault="007B63A0" w14:paraId="428D0D84" w14:textId="7777777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Conduct a final check to verify that all equipment used for refueling is properly stored and secured.</w:t>
      </w:r>
    </w:p>
    <w:p w:rsidRPr="003C32E2" w:rsidR="007B63A0" w:rsidP="007B63A0" w:rsidRDefault="007B63A0" w14:paraId="384C46C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b/>
          <w:bCs/>
          <w:kern w:val="0"/>
          <w:sz w:val="24"/>
          <w:szCs w:val="24"/>
          <w:lang w:eastAsia="en-CA"/>
          <w14:ligatures w14:val="none"/>
        </w:rPr>
        <w:t>Waste Disposal:</w:t>
      </w:r>
    </w:p>
    <w:p w:rsidRPr="004357D1" w:rsidR="007B63A0" w:rsidP="007B63A0" w:rsidRDefault="007B63A0" w14:paraId="614471F2" w14:textId="7777777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Properly dispose of used absorbents, empty containers, or other waste materials according to environmental regulations and company procedures.</w:t>
      </w:r>
    </w:p>
    <w:p w:rsidRPr="003C32E2" w:rsidR="007B63A0" w:rsidP="007B63A0" w:rsidRDefault="007B63A0" w14:paraId="19D44475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b/>
          <w:bCs/>
          <w:kern w:val="0"/>
          <w:sz w:val="24"/>
          <w:szCs w:val="24"/>
          <w:lang w:eastAsia="en-CA"/>
          <w14:ligatures w14:val="none"/>
        </w:rPr>
        <w:t>Documentation:</w:t>
      </w:r>
    </w:p>
    <w:p w:rsidRPr="003C32E2" w:rsidR="007B63A0" w:rsidP="007B63A0" w:rsidRDefault="007B63A0" w14:paraId="7F52F36C" w14:textId="7777777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Record refueling activities, including fuel quantities, any incidents or observations, and any corrective actions taken.</w:t>
      </w:r>
    </w:p>
    <w:p w:rsidRPr="003C32E2" w:rsidR="007B63A0" w:rsidP="7A59B77E" w:rsidRDefault="007B63A0" w14:paraId="2C517BE8" w14:textId="2D070B87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eastAsia="Times New Roman" w:cs="Calibri" w:cstheme="minorAscii"/>
          <w:kern w:val="0"/>
          <w:sz w:val="24"/>
          <w:szCs w:val="24"/>
          <w:lang w:eastAsia="en-CA"/>
          <w14:ligatures w14:val="none"/>
        </w:rPr>
      </w:pPr>
      <w:r w:rsidRPr="7A59B77E" w:rsidR="007B63A0">
        <w:rPr>
          <w:rFonts w:eastAsia="Times New Roman" w:cs="Calibri" w:cstheme="minorAscii"/>
          <w:kern w:val="0"/>
          <w:sz w:val="24"/>
          <w:szCs w:val="24"/>
          <w:lang w:eastAsia="en-CA"/>
          <w14:ligatures w14:val="none"/>
        </w:rPr>
        <w:lastRenderedPageBreak/>
        <w:t>Maintain records of refueling equipment inspections, maintenance, and training sessions conducted.</w:t>
      </w:r>
    </w:p>
    <w:p w:rsidRPr="003C32E2" w:rsidR="007B63A0" w:rsidP="4F9D3CA4" w:rsidRDefault="007B63A0" w14:paraId="4D0B4EEB" w14:textId="77777777">
      <w:pPr>
        <w:numPr>
          <w:ilvl w:val="0"/>
          <w:numId w:val="2"/>
        </w:numPr>
        <w:spacing w:before="100" w:beforeAutospacing="on" w:after="100" w:afterAutospacing="on" w:line="240" w:lineRule="auto"/>
        <w:rPr>
          <w:rFonts w:eastAsia="Times New Roman" w:cs="Calibri" w:cstheme="minorAscii"/>
          <w:kern w:val="0"/>
          <w:sz w:val="24"/>
          <w:szCs w:val="24"/>
          <w:lang w:eastAsia="en-CA"/>
          <w14:ligatures w14:val="none"/>
        </w:rPr>
      </w:pPr>
      <w:r w:rsidRPr="4F9D3CA4" w:rsidR="007B63A0">
        <w:rPr>
          <w:rFonts w:eastAsia="Times New Roman" w:cs="Calibri" w:cstheme="minorAscii"/>
          <w:b w:val="1"/>
          <w:bCs w:val="1"/>
          <w:kern w:val="0"/>
          <w:sz w:val="24"/>
          <w:szCs w:val="24"/>
          <w:lang w:eastAsia="en-CA"/>
          <w14:ligatures w14:val="none"/>
        </w:rPr>
        <w:t>Training and Review:</w:t>
      </w:r>
    </w:p>
    <w:p w:rsidRPr="003C32E2" w:rsidR="007B63A0" w:rsidP="007B63A0" w:rsidRDefault="007B63A0" w14:paraId="45DF6CD4" w14:textId="7777777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Provide refueling procedure training to all personnel involved in refueling operations, including refuelers and operators.</w:t>
      </w:r>
    </w:p>
    <w:p w:rsidRPr="003C32E2" w:rsidR="007B63A0" w:rsidP="007B63A0" w:rsidRDefault="007B63A0" w14:paraId="275EEA97" w14:textId="7777777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3C32E2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Conduct regular reviews and audits of refueling procedures to ensure compliance with safety standards and identify opportunities for improvement.</w:t>
      </w:r>
    </w:p>
    <w:p w:rsidR="007B63A0" w:rsidP="007B63A0" w:rsidRDefault="007B63A0" w14:paraId="7F5A7A12" w14:textId="77777777">
      <w:pPr>
        <w:rPr>
          <w:rStyle w:val="normaltextrun"/>
          <w:rFonts w:cstheme="minorHAnsi"/>
          <w:b/>
          <w:bCs/>
          <w:sz w:val="28"/>
          <w:szCs w:val="28"/>
          <w:u w:val="single"/>
        </w:rPr>
      </w:pPr>
    </w:p>
    <w:p w:rsidR="00CD6D9B" w:rsidRDefault="00CD6D9B" w14:paraId="426D7B7A" w14:textId="77777777"/>
    <w:sectPr w:rsidR="00CD6D9B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27282"/>
    <w:multiLevelType w:val="multilevel"/>
    <w:tmpl w:val="70A00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8218EB"/>
    <w:multiLevelType w:val="multilevel"/>
    <w:tmpl w:val="66FE9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8388429">
    <w:abstractNumId w:val="0"/>
  </w:num>
  <w:num w:numId="2" w16cid:durableId="1524712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A0"/>
    <w:rsid w:val="00351D57"/>
    <w:rsid w:val="00665E5D"/>
    <w:rsid w:val="007B63A0"/>
    <w:rsid w:val="00CD6D9B"/>
    <w:rsid w:val="00E11230"/>
    <w:rsid w:val="4F9D3CA4"/>
    <w:rsid w:val="7A59B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B5926"/>
  <w15:chartTrackingRefBased/>
  <w15:docId w15:val="{EEFB08DB-6096-4AFB-B1B2-571CD724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B63A0"/>
  </w:style>
  <w:style w:type="paragraph" w:styleId="Heading1">
    <w:name w:val="heading 1"/>
    <w:basedOn w:val="Normal"/>
    <w:next w:val="Normal"/>
    <w:link w:val="Heading1Char"/>
    <w:uiPriority w:val="9"/>
    <w:qFormat/>
    <w:rsid w:val="007B63A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3A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3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3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B63A0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B63A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B63A0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B63A0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B63A0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B63A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B63A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B63A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B6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3A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B63A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B6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3A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B6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3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3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3A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B63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3A0"/>
    <w:rPr>
      <w:b/>
      <w:bCs/>
      <w:smallCaps/>
      <w:color w:val="2F5496" w:themeColor="accent1" w:themeShade="BF"/>
      <w:spacing w:val="5"/>
    </w:rPr>
  </w:style>
  <w:style w:type="character" w:styleId="normaltextrun" w:customStyle="1">
    <w:name w:val="normaltextrun"/>
    <w:basedOn w:val="DefaultParagraphFont"/>
    <w:rsid w:val="007B6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8BC262788046B17639074180B663" ma:contentTypeVersion="14" ma:contentTypeDescription="Create a new document." ma:contentTypeScope="" ma:versionID="51b956443511800f1c1952d6406622d3">
  <xsd:schema xmlns:xsd="http://www.w3.org/2001/XMLSchema" xmlns:xs="http://www.w3.org/2001/XMLSchema" xmlns:p="http://schemas.microsoft.com/office/2006/metadata/properties" xmlns:ns2="5c91fbb4-b2fd-4fa4-bf38-ee2862e1b8ae" xmlns:ns3="765f35eb-8ae7-4a5c-aff6-9bfc562651c5" targetNamespace="http://schemas.microsoft.com/office/2006/metadata/properties" ma:root="true" ma:fieldsID="d0d977e3c68c8608fb4d06f4b6fd183a" ns2:_="" ns3:_="">
    <xsd:import namespace="5c91fbb4-b2fd-4fa4-bf38-ee2862e1b8ae"/>
    <xsd:import namespace="765f35eb-8ae7-4a5c-aff6-9bfc56265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1fbb4-b2fd-4fa4-bf38-ee2862e1b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f35eb-8ae7-4a5c-aff6-9bfc562651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2c0f00c-d60e-4bfe-a07c-725083108b84}" ma:internalName="TaxCatchAll" ma:showField="CatchAllData" ma:web="765f35eb-8ae7-4a5c-aff6-9bfc56265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1fbb4-b2fd-4fa4-bf38-ee2862e1b8ae">
      <Terms xmlns="http://schemas.microsoft.com/office/infopath/2007/PartnerControls"/>
    </lcf76f155ced4ddcb4097134ff3c332f>
    <TaxCatchAll xmlns="765f35eb-8ae7-4a5c-aff6-9bfc562651c5" xsi:nil="true"/>
  </documentManagement>
</p:properties>
</file>

<file path=customXml/itemProps1.xml><?xml version="1.0" encoding="utf-8"?>
<ds:datastoreItem xmlns:ds="http://schemas.openxmlformats.org/officeDocument/2006/customXml" ds:itemID="{CEAF0FD1-70A4-4D7C-9D08-7906F15F7EEB}"/>
</file>

<file path=customXml/itemProps2.xml><?xml version="1.0" encoding="utf-8"?>
<ds:datastoreItem xmlns:ds="http://schemas.openxmlformats.org/officeDocument/2006/customXml" ds:itemID="{FF5B02C4-375C-4CAA-A6A3-D6AF8A1F6073}"/>
</file>

<file path=customXml/itemProps3.xml><?xml version="1.0" encoding="utf-8"?>
<ds:datastoreItem xmlns:ds="http://schemas.openxmlformats.org/officeDocument/2006/customXml" ds:itemID="{188214B6-7BAC-4A6C-8CDF-F75EC3F9543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Santanna Coleman</dc:creator>
  <keywords/>
  <dc:description/>
  <lastModifiedBy>Daniel Muise</lastModifiedBy>
  <revision>4</revision>
  <dcterms:created xsi:type="dcterms:W3CDTF">2024-11-05T03:19:00.0000000Z</dcterms:created>
  <dcterms:modified xsi:type="dcterms:W3CDTF">2025-01-02T17:51:00.0050651Z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0x010100B7028BC262788046B17639074180B663</vt:lpwstr>
  </property>
  <property fmtid="{D5CDD505-2E9C-101B-9397-08002B2CF9AE}" pid="3" name="MediaServiceImageTags">
    <vt:lpwstr/>
  </property>
</Properties>
</file>